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jc w:val="center"/>
        <w:tblCellMar>
          <w:left w:w="0" w:type="dxa"/>
          <w:right w:w="0" w:type="dxa"/>
        </w:tblCellMar>
        <w:tblLook w:val="04A0"/>
      </w:tblPr>
      <w:tblGrid>
        <w:gridCol w:w="9915"/>
      </w:tblGrid>
      <w:tr w:rsidR="00516C7A" w:rsidRPr="00516C7A">
        <w:trPr>
          <w:jc w:val="center"/>
        </w:trPr>
        <w:tc>
          <w:tcPr>
            <w:tcW w:w="9915" w:type="dxa"/>
            <w:vAlign w:val="center"/>
            <w:hideMark/>
          </w:tcPr>
          <w:p w:rsidR="00516C7A" w:rsidRPr="00516C7A" w:rsidRDefault="00516C7A" w:rsidP="00516C7A">
            <w:pPr>
              <w:widowControl/>
              <w:spacing w:before="100" w:beforeAutospacing="1" w:after="100" w:afterAutospacing="1" w:line="345" w:lineRule="atLeast"/>
              <w:jc w:val="left"/>
              <w:rPr>
                <w:rFonts w:ascii="Verdana" w:eastAsia="宋体" w:hAnsi="Verdana" w:cs="宋体"/>
                <w:b/>
                <w:bCs/>
                <w:color w:val="006699"/>
                <w:kern w:val="0"/>
                <w:sz w:val="23"/>
                <w:szCs w:val="23"/>
              </w:rPr>
            </w:pPr>
            <w:r w:rsidRPr="00516C7A">
              <w:rPr>
                <w:rFonts w:ascii="Verdana" w:eastAsia="宋体" w:hAnsi="Verdana" w:cs="宋体"/>
                <w:b/>
                <w:bCs/>
                <w:color w:val="006699"/>
                <w:kern w:val="0"/>
                <w:sz w:val="23"/>
              </w:rPr>
              <w:t>加油站项目商业计划书</w:t>
            </w:r>
            <w:r>
              <w:rPr>
                <w:rFonts w:ascii="Verdana" w:eastAsia="宋体" w:hAnsi="Verdana" w:cs="宋体" w:hint="eastAsia"/>
                <w:b/>
                <w:bCs/>
                <w:color w:val="006699"/>
                <w:kern w:val="0"/>
                <w:sz w:val="23"/>
              </w:rPr>
              <w:t>模板</w:t>
            </w:r>
            <w:r w:rsidRPr="00516C7A">
              <w:rPr>
                <w:rFonts w:ascii="Verdana" w:eastAsia="宋体" w:hAnsi="Verdana" w:cs="宋体"/>
                <w:b/>
                <w:bCs/>
                <w:color w:val="006699"/>
                <w:kern w:val="0"/>
                <w:sz w:val="23"/>
                <w:szCs w:val="23"/>
              </w:rPr>
              <w:t xml:space="preserve">：　</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一、公司概述</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100" w:afterAutospacing="1"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、公司名称、地址、联系方法等</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、公司的自然业务情况</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、公司的发展历史</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4</w:t>
            </w:r>
            <w:r w:rsidRPr="00516C7A">
              <w:rPr>
                <w:rFonts w:ascii="ˎ̥" w:eastAsia="宋体" w:hAnsi="ˎ̥" w:cs="宋体"/>
                <w:color w:val="454545"/>
                <w:kern w:val="0"/>
                <w:sz w:val="18"/>
                <w:szCs w:val="18"/>
              </w:rPr>
              <w:t>、对公司未来发展的预测</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5</w:t>
            </w:r>
            <w:r w:rsidRPr="00516C7A">
              <w:rPr>
                <w:rFonts w:ascii="ˎ̥" w:eastAsia="宋体" w:hAnsi="ˎ̥" w:cs="宋体"/>
                <w:color w:val="454545"/>
                <w:kern w:val="0"/>
                <w:sz w:val="18"/>
                <w:szCs w:val="18"/>
              </w:rPr>
              <w:t>、本公司与众不同的竞争优势或者独特性</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6</w:t>
            </w:r>
            <w:r w:rsidRPr="00516C7A">
              <w:rPr>
                <w:rFonts w:ascii="ˎ̥" w:eastAsia="宋体" w:hAnsi="ˎ̥" w:cs="宋体"/>
                <w:color w:val="454545"/>
                <w:kern w:val="0"/>
                <w:sz w:val="18"/>
                <w:szCs w:val="18"/>
              </w:rPr>
              <w:t>、公司的纳税情况</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二、研究与开发</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100" w:afterAutospacing="1"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、研究资金投入</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、研发人员情况</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、研发设备</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4</w:t>
            </w:r>
            <w:r w:rsidRPr="00516C7A">
              <w:rPr>
                <w:rFonts w:ascii="ˎ̥" w:eastAsia="宋体" w:hAnsi="ˎ̥" w:cs="宋体"/>
                <w:color w:val="454545"/>
                <w:kern w:val="0"/>
                <w:sz w:val="18"/>
                <w:szCs w:val="18"/>
              </w:rPr>
              <w:t>、研发的产品的技术先进性及发展趋势</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三、产品或服务</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100" w:afterAutospacing="1"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、产品的名称、特征及性能用途</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、产品的开发过程</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、产品处于生命周期的哪一段</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4</w:t>
            </w:r>
            <w:r w:rsidRPr="00516C7A">
              <w:rPr>
                <w:rFonts w:ascii="ˎ̥" w:eastAsia="宋体" w:hAnsi="ˎ̥" w:cs="宋体"/>
                <w:color w:val="454545"/>
                <w:kern w:val="0"/>
                <w:sz w:val="18"/>
                <w:szCs w:val="18"/>
              </w:rPr>
              <w:t>、产品的市场前景和竞争力如何</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5</w:t>
            </w:r>
            <w:r w:rsidRPr="00516C7A">
              <w:rPr>
                <w:rFonts w:ascii="ˎ̥" w:eastAsia="宋体" w:hAnsi="ˎ̥" w:cs="宋体"/>
                <w:color w:val="454545"/>
                <w:kern w:val="0"/>
                <w:sz w:val="18"/>
                <w:szCs w:val="18"/>
              </w:rPr>
              <w:t>、产品的技术改进和更新换代计划及成本</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四、管理团队和管理组织情况</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240"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、公司的管理机构，主要股东、董事、关键的雇员、薪金、股票期权、劳工协议、奖惩制度及各部门的构成等情况</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、公司管理团队的战斗力和独特性及与众不同的凝聚力和团结战斗精神</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五、加油站行业、市场与竞争分析</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100" w:afterAutospacing="1"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、目标市场</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a) </w:t>
            </w:r>
            <w:r w:rsidRPr="00516C7A">
              <w:rPr>
                <w:rFonts w:ascii="ˎ̥" w:eastAsia="宋体" w:hAnsi="ˎ̥" w:cs="宋体"/>
                <w:color w:val="454545"/>
                <w:kern w:val="0"/>
                <w:sz w:val="18"/>
                <w:szCs w:val="18"/>
              </w:rPr>
              <w:t>细分市场</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b) </w:t>
            </w:r>
            <w:r w:rsidRPr="00516C7A">
              <w:rPr>
                <w:rFonts w:ascii="ˎ̥" w:eastAsia="宋体" w:hAnsi="ˎ̥" w:cs="宋体"/>
                <w:color w:val="454545"/>
                <w:kern w:val="0"/>
                <w:sz w:val="18"/>
                <w:szCs w:val="18"/>
              </w:rPr>
              <w:t>目标顾客群</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c) 5</w:t>
            </w:r>
            <w:r w:rsidRPr="00516C7A">
              <w:rPr>
                <w:rFonts w:ascii="ˎ̥" w:eastAsia="宋体" w:hAnsi="ˎ̥" w:cs="宋体"/>
                <w:color w:val="454545"/>
                <w:kern w:val="0"/>
                <w:sz w:val="18"/>
                <w:szCs w:val="18"/>
              </w:rPr>
              <w:t>年生产计划、收入和利润</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d) </w:t>
            </w:r>
            <w:r w:rsidRPr="00516C7A">
              <w:rPr>
                <w:rFonts w:ascii="ˎ̥" w:eastAsia="宋体" w:hAnsi="ˎ̥" w:cs="宋体"/>
                <w:color w:val="454545"/>
                <w:kern w:val="0"/>
                <w:sz w:val="18"/>
                <w:szCs w:val="18"/>
              </w:rPr>
              <w:t>市场规模、目标市场所占份额</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e) </w:t>
            </w:r>
            <w:r w:rsidRPr="00516C7A">
              <w:rPr>
                <w:rFonts w:ascii="ˎ̥" w:eastAsia="宋体" w:hAnsi="ˎ̥" w:cs="宋体"/>
                <w:color w:val="454545"/>
                <w:kern w:val="0"/>
                <w:sz w:val="18"/>
                <w:szCs w:val="18"/>
              </w:rPr>
              <w:t>营销策略</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、行业分析</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a) </w:t>
            </w:r>
            <w:r w:rsidRPr="00516C7A">
              <w:rPr>
                <w:rFonts w:ascii="ˎ̥" w:eastAsia="宋体" w:hAnsi="ˎ̥" w:cs="宋体"/>
                <w:color w:val="454545"/>
                <w:kern w:val="0"/>
                <w:sz w:val="18"/>
                <w:szCs w:val="18"/>
              </w:rPr>
              <w:t>行业发展程度</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b) </w:t>
            </w:r>
            <w:r w:rsidRPr="00516C7A">
              <w:rPr>
                <w:rFonts w:ascii="ˎ̥" w:eastAsia="宋体" w:hAnsi="ˎ̥" w:cs="宋体"/>
                <w:color w:val="454545"/>
                <w:kern w:val="0"/>
                <w:sz w:val="18"/>
                <w:szCs w:val="18"/>
              </w:rPr>
              <w:t>行业发展动态</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c) </w:t>
            </w:r>
            <w:r w:rsidRPr="00516C7A">
              <w:rPr>
                <w:rFonts w:ascii="ˎ̥" w:eastAsia="宋体" w:hAnsi="ˎ̥" w:cs="宋体"/>
                <w:color w:val="454545"/>
                <w:kern w:val="0"/>
                <w:sz w:val="18"/>
                <w:szCs w:val="18"/>
              </w:rPr>
              <w:t>行业总销售额、总收入、发展趋势</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d) </w:t>
            </w:r>
            <w:r w:rsidRPr="00516C7A">
              <w:rPr>
                <w:rFonts w:ascii="ˎ̥" w:eastAsia="宋体" w:hAnsi="ˎ̥" w:cs="宋体"/>
                <w:color w:val="454545"/>
                <w:kern w:val="0"/>
                <w:sz w:val="18"/>
                <w:szCs w:val="18"/>
              </w:rPr>
              <w:t>经济发展对该行业的影响程度</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e) </w:t>
            </w:r>
            <w:r w:rsidRPr="00516C7A">
              <w:rPr>
                <w:rFonts w:ascii="ˎ̥" w:eastAsia="宋体" w:hAnsi="ˎ̥" w:cs="宋体"/>
                <w:color w:val="454545"/>
                <w:kern w:val="0"/>
                <w:sz w:val="18"/>
                <w:szCs w:val="18"/>
              </w:rPr>
              <w:t>政府对行业的影响</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lastRenderedPageBreak/>
              <w:t xml:space="preserve">　　　</w:t>
            </w:r>
            <w:r w:rsidRPr="00516C7A">
              <w:rPr>
                <w:rFonts w:ascii="ˎ̥" w:eastAsia="宋体" w:hAnsi="ˎ̥" w:cs="宋体"/>
                <w:color w:val="454545"/>
                <w:kern w:val="0"/>
                <w:sz w:val="18"/>
                <w:szCs w:val="18"/>
              </w:rPr>
              <w:t xml:space="preserve">f) </w:t>
            </w:r>
            <w:r w:rsidRPr="00516C7A">
              <w:rPr>
                <w:rFonts w:ascii="ˎ̥" w:eastAsia="宋体" w:hAnsi="ˎ̥" w:cs="宋体"/>
                <w:color w:val="454545"/>
                <w:kern w:val="0"/>
                <w:sz w:val="18"/>
                <w:szCs w:val="18"/>
              </w:rPr>
              <w:t>发展的决定因素</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g) </w:t>
            </w:r>
            <w:r w:rsidRPr="00516C7A">
              <w:rPr>
                <w:rFonts w:ascii="ˎ̥" w:eastAsia="宋体" w:hAnsi="ˎ̥" w:cs="宋体"/>
                <w:color w:val="454545"/>
                <w:kern w:val="0"/>
                <w:sz w:val="18"/>
                <w:szCs w:val="18"/>
              </w:rPr>
              <w:t>竞争战略</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h) </w:t>
            </w:r>
            <w:r w:rsidRPr="00516C7A">
              <w:rPr>
                <w:rFonts w:ascii="ˎ̥" w:eastAsia="宋体" w:hAnsi="ˎ̥" w:cs="宋体"/>
                <w:color w:val="454545"/>
                <w:kern w:val="0"/>
                <w:sz w:val="18"/>
                <w:szCs w:val="18"/>
              </w:rPr>
              <w:t>行业门槛</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、竞争分析</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a) </w:t>
            </w:r>
            <w:r w:rsidRPr="00516C7A">
              <w:rPr>
                <w:rFonts w:ascii="ˎ̥" w:eastAsia="宋体" w:hAnsi="ˎ̥" w:cs="宋体"/>
                <w:color w:val="454545"/>
                <w:kern w:val="0"/>
                <w:sz w:val="18"/>
                <w:szCs w:val="18"/>
              </w:rPr>
              <w:t>主要竞争对手</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b) </w:t>
            </w:r>
            <w:r w:rsidRPr="00516C7A">
              <w:rPr>
                <w:rFonts w:ascii="ˎ̥" w:eastAsia="宋体" w:hAnsi="ˎ̥" w:cs="宋体"/>
                <w:color w:val="454545"/>
                <w:kern w:val="0"/>
                <w:sz w:val="18"/>
                <w:szCs w:val="18"/>
              </w:rPr>
              <w:t>竞争对手的市场策略及所占市场份额</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c) </w:t>
            </w:r>
            <w:r w:rsidRPr="00516C7A">
              <w:rPr>
                <w:rFonts w:ascii="ˎ̥" w:eastAsia="宋体" w:hAnsi="ˎ̥" w:cs="宋体"/>
                <w:color w:val="454545"/>
                <w:kern w:val="0"/>
                <w:sz w:val="18"/>
                <w:szCs w:val="18"/>
              </w:rPr>
              <w:t>竞争对手可能出现的新发展</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d) </w:t>
            </w:r>
            <w:r w:rsidRPr="00516C7A">
              <w:rPr>
                <w:rFonts w:ascii="ˎ̥" w:eastAsia="宋体" w:hAnsi="ˎ̥" w:cs="宋体"/>
                <w:color w:val="454545"/>
                <w:kern w:val="0"/>
                <w:sz w:val="18"/>
                <w:szCs w:val="18"/>
              </w:rPr>
              <w:t>竞争策略</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e) </w:t>
            </w:r>
            <w:r w:rsidRPr="00516C7A">
              <w:rPr>
                <w:rFonts w:ascii="ˎ̥" w:eastAsia="宋体" w:hAnsi="ˎ̥" w:cs="宋体"/>
                <w:color w:val="454545"/>
                <w:kern w:val="0"/>
                <w:sz w:val="18"/>
                <w:szCs w:val="18"/>
              </w:rPr>
              <w:t>在发展、市场和地理位置等方面的竞争优势</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f) </w:t>
            </w:r>
            <w:r w:rsidRPr="00516C7A">
              <w:rPr>
                <w:rFonts w:ascii="ˎ̥" w:eastAsia="宋体" w:hAnsi="ˎ̥" w:cs="宋体"/>
                <w:color w:val="454545"/>
                <w:kern w:val="0"/>
                <w:sz w:val="18"/>
                <w:szCs w:val="18"/>
              </w:rPr>
              <w:t>竞争压力的承受能力</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g) </w:t>
            </w:r>
            <w:r w:rsidRPr="00516C7A">
              <w:rPr>
                <w:rFonts w:ascii="ˎ̥" w:eastAsia="宋体" w:hAnsi="ˎ̥" w:cs="宋体"/>
                <w:color w:val="454545"/>
                <w:kern w:val="0"/>
                <w:sz w:val="18"/>
                <w:szCs w:val="18"/>
              </w:rPr>
              <w:t>产品的价格、性能、质量的市场竞争优势</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六、营销策略</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100" w:afterAutospacing="1"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、营销机构和营销队伍</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、营销渠道的选择和营销网络的建设</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、广告策略和促销策略</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4</w:t>
            </w:r>
            <w:r w:rsidRPr="00516C7A">
              <w:rPr>
                <w:rFonts w:ascii="ˎ̥" w:eastAsia="宋体" w:hAnsi="ˎ̥" w:cs="宋体"/>
                <w:color w:val="454545"/>
                <w:kern w:val="0"/>
                <w:sz w:val="18"/>
                <w:szCs w:val="18"/>
              </w:rPr>
              <w:t>、价格策略</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5</w:t>
            </w:r>
            <w:r w:rsidRPr="00516C7A">
              <w:rPr>
                <w:rFonts w:ascii="ˎ̥" w:eastAsia="宋体" w:hAnsi="ˎ̥" w:cs="宋体"/>
                <w:color w:val="454545"/>
                <w:kern w:val="0"/>
                <w:sz w:val="18"/>
                <w:szCs w:val="18"/>
              </w:rPr>
              <w:t>、市场渗透于开拓计划</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6</w:t>
            </w:r>
            <w:r w:rsidRPr="00516C7A">
              <w:rPr>
                <w:rFonts w:ascii="ˎ̥" w:eastAsia="宋体" w:hAnsi="ˎ̥" w:cs="宋体"/>
                <w:color w:val="454545"/>
                <w:kern w:val="0"/>
                <w:sz w:val="18"/>
                <w:szCs w:val="18"/>
              </w:rPr>
              <w:t>、市场营销中意外情况的应急对策</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七、生产经营计划</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100" w:afterAutospacing="1"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、新产品的生产经营计划</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、公司现有的生产技术能力</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、品质控制和质量改进能力</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4</w:t>
            </w:r>
            <w:r w:rsidRPr="00516C7A">
              <w:rPr>
                <w:rFonts w:ascii="ˎ̥" w:eastAsia="宋体" w:hAnsi="ˎ̥" w:cs="宋体"/>
                <w:color w:val="454545"/>
                <w:kern w:val="0"/>
                <w:sz w:val="18"/>
                <w:szCs w:val="18"/>
              </w:rPr>
              <w:t>、现有的生产设备或者将要购置的生产设备</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5</w:t>
            </w:r>
            <w:r w:rsidRPr="00516C7A">
              <w:rPr>
                <w:rFonts w:ascii="ˎ̥" w:eastAsia="宋体" w:hAnsi="ˎ̥" w:cs="宋体"/>
                <w:color w:val="454545"/>
                <w:kern w:val="0"/>
                <w:sz w:val="18"/>
                <w:szCs w:val="18"/>
              </w:rPr>
              <w:t>、现有的生产工艺流程</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6</w:t>
            </w:r>
            <w:r w:rsidRPr="00516C7A">
              <w:rPr>
                <w:rFonts w:ascii="ˎ̥" w:eastAsia="宋体" w:hAnsi="ˎ̥" w:cs="宋体"/>
                <w:color w:val="454545"/>
                <w:kern w:val="0"/>
                <w:sz w:val="18"/>
                <w:szCs w:val="18"/>
              </w:rPr>
              <w:t>、生产产品的经济分析及生产过程</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八、融资说明</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100" w:afterAutospacing="1"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、投资计划：</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a) </w:t>
            </w:r>
            <w:r w:rsidRPr="00516C7A">
              <w:rPr>
                <w:rFonts w:ascii="ˎ̥" w:eastAsia="宋体" w:hAnsi="ˎ̥" w:cs="宋体"/>
                <w:color w:val="454545"/>
                <w:kern w:val="0"/>
                <w:sz w:val="18"/>
                <w:szCs w:val="18"/>
              </w:rPr>
              <w:t>预计的风险投资数额</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b) </w:t>
            </w:r>
            <w:r w:rsidRPr="00516C7A">
              <w:rPr>
                <w:rFonts w:ascii="ˎ̥" w:eastAsia="宋体" w:hAnsi="ˎ̥" w:cs="宋体"/>
                <w:color w:val="454545"/>
                <w:kern w:val="0"/>
                <w:sz w:val="18"/>
                <w:szCs w:val="18"/>
              </w:rPr>
              <w:t>风险企业未来的筹资资本结构安排</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c) </w:t>
            </w:r>
            <w:r w:rsidRPr="00516C7A">
              <w:rPr>
                <w:rFonts w:ascii="ˎ̥" w:eastAsia="宋体" w:hAnsi="ˎ̥" w:cs="宋体"/>
                <w:color w:val="454545"/>
                <w:kern w:val="0"/>
                <w:sz w:val="18"/>
                <w:szCs w:val="18"/>
              </w:rPr>
              <w:t>获取风险投资的抵押、担保条件</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d) </w:t>
            </w:r>
            <w:r w:rsidRPr="00516C7A">
              <w:rPr>
                <w:rFonts w:ascii="ˎ̥" w:eastAsia="宋体" w:hAnsi="ˎ̥" w:cs="宋体"/>
                <w:color w:val="454545"/>
                <w:kern w:val="0"/>
                <w:sz w:val="18"/>
                <w:szCs w:val="18"/>
              </w:rPr>
              <w:t>投资收益和再投资的安排</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e) </w:t>
            </w:r>
            <w:r w:rsidRPr="00516C7A">
              <w:rPr>
                <w:rFonts w:ascii="ˎ̥" w:eastAsia="宋体" w:hAnsi="ˎ̥" w:cs="宋体"/>
                <w:color w:val="454545"/>
                <w:kern w:val="0"/>
                <w:sz w:val="18"/>
                <w:szCs w:val="18"/>
              </w:rPr>
              <w:t>风险投资者投资后双方股权的比例安排</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f) </w:t>
            </w:r>
            <w:r w:rsidRPr="00516C7A">
              <w:rPr>
                <w:rFonts w:ascii="ˎ̥" w:eastAsia="宋体" w:hAnsi="ˎ̥" w:cs="宋体"/>
                <w:color w:val="454545"/>
                <w:kern w:val="0"/>
                <w:sz w:val="18"/>
                <w:szCs w:val="18"/>
              </w:rPr>
              <w:t>投资资金的收支安排及财务报告编制</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g) </w:t>
            </w:r>
            <w:r w:rsidRPr="00516C7A">
              <w:rPr>
                <w:rFonts w:ascii="ˎ̥" w:eastAsia="宋体" w:hAnsi="ˎ̥" w:cs="宋体"/>
                <w:color w:val="454545"/>
                <w:kern w:val="0"/>
                <w:sz w:val="18"/>
                <w:szCs w:val="18"/>
              </w:rPr>
              <w:t>投资者介入公司经营管理的程度</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、融资需求</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lastRenderedPageBreak/>
              <w:t xml:space="preserve">　　　</w:t>
            </w:r>
            <w:r w:rsidRPr="00516C7A">
              <w:rPr>
                <w:rFonts w:ascii="ˎ̥" w:eastAsia="宋体" w:hAnsi="ˎ̥" w:cs="宋体"/>
                <w:color w:val="454545"/>
                <w:kern w:val="0"/>
                <w:sz w:val="18"/>
                <w:szCs w:val="18"/>
              </w:rPr>
              <w:t xml:space="preserve">a) </w:t>
            </w:r>
            <w:r w:rsidRPr="00516C7A">
              <w:rPr>
                <w:rFonts w:ascii="ˎ̥" w:eastAsia="宋体" w:hAnsi="ˎ̥" w:cs="宋体"/>
                <w:color w:val="454545"/>
                <w:kern w:val="0"/>
                <w:sz w:val="18"/>
                <w:szCs w:val="18"/>
              </w:rPr>
              <w:t>资金需求计划：为实现公司发展计划所需要的资金额，资金需求的时间性，资金用途（详细说明资金用途，并列表说明）</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 xml:space="preserve">b) </w:t>
            </w:r>
            <w:r w:rsidRPr="00516C7A">
              <w:rPr>
                <w:rFonts w:ascii="ˎ̥" w:eastAsia="宋体" w:hAnsi="ˎ̥" w:cs="宋体"/>
                <w:color w:val="454545"/>
                <w:kern w:val="0"/>
                <w:sz w:val="18"/>
                <w:szCs w:val="18"/>
              </w:rPr>
              <w:t>融资方案：公司所希望的投资人及所占股份的说明，资金其他来源，如银行贷段等。</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九、财务计划与分析</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100" w:afterAutospacing="1"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、过去三年的现金流量表</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、过去三年的资产负债表</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、过去三年的损益表</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4</w:t>
            </w:r>
            <w:r w:rsidRPr="00516C7A">
              <w:rPr>
                <w:rFonts w:ascii="ˎ̥" w:eastAsia="宋体" w:hAnsi="ˎ̥" w:cs="宋体"/>
                <w:color w:val="454545"/>
                <w:kern w:val="0"/>
                <w:sz w:val="18"/>
                <w:szCs w:val="18"/>
              </w:rPr>
              <w:t>、过去三年的年度财务总结报告书</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5</w:t>
            </w:r>
            <w:r w:rsidRPr="00516C7A">
              <w:rPr>
                <w:rFonts w:ascii="ˎ̥" w:eastAsia="宋体" w:hAnsi="ˎ̥" w:cs="宋体"/>
                <w:color w:val="454545"/>
                <w:kern w:val="0"/>
                <w:sz w:val="18"/>
                <w:szCs w:val="18"/>
              </w:rPr>
              <w:t>、今后三年的发展预测</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十、风险因素</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240"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、技术风险</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、市场风险</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、管理风险</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4</w:t>
            </w:r>
            <w:r w:rsidRPr="00516C7A">
              <w:rPr>
                <w:rFonts w:ascii="ˎ̥" w:eastAsia="宋体" w:hAnsi="ˎ̥" w:cs="宋体"/>
                <w:color w:val="454545"/>
                <w:kern w:val="0"/>
                <w:sz w:val="18"/>
                <w:szCs w:val="18"/>
              </w:rPr>
              <w:t>、财务风险</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5</w:t>
            </w:r>
            <w:r w:rsidRPr="00516C7A">
              <w:rPr>
                <w:rFonts w:ascii="ˎ̥" w:eastAsia="宋体" w:hAnsi="ˎ̥" w:cs="宋体"/>
                <w:color w:val="454545"/>
                <w:kern w:val="0"/>
                <w:sz w:val="18"/>
                <w:szCs w:val="18"/>
              </w:rPr>
              <w:t>、其他不可预见的风险</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6</w:t>
            </w:r>
            <w:r w:rsidRPr="00516C7A">
              <w:rPr>
                <w:rFonts w:ascii="ˎ̥" w:eastAsia="宋体" w:hAnsi="ˎ̥" w:cs="宋体"/>
                <w:color w:val="454545"/>
                <w:kern w:val="0"/>
                <w:sz w:val="18"/>
                <w:szCs w:val="18"/>
              </w:rPr>
              <w:t>、风险控制和防范手段</w:t>
            </w:r>
          </w:p>
        </w:tc>
      </w:tr>
    </w:tbl>
    <w:p w:rsidR="00516C7A" w:rsidRPr="00516C7A" w:rsidRDefault="00516C7A" w:rsidP="00516C7A">
      <w:pPr>
        <w:widowControl/>
        <w:spacing w:line="345" w:lineRule="atLeast"/>
        <w:jc w:val="left"/>
        <w:rPr>
          <w:rFonts w:ascii="Verdana" w:eastAsia="宋体" w:hAnsi="Verdana" w:cs="宋体"/>
          <w:vanish/>
          <w:color w:val="454545"/>
          <w:kern w:val="0"/>
          <w:sz w:val="18"/>
          <w:szCs w:val="18"/>
        </w:rPr>
      </w:pPr>
    </w:p>
    <w:tbl>
      <w:tblPr>
        <w:tblW w:w="9840" w:type="dxa"/>
        <w:jc w:val="center"/>
        <w:tblCellMar>
          <w:left w:w="0" w:type="dxa"/>
          <w:right w:w="0" w:type="dxa"/>
        </w:tblCellMar>
        <w:tblLook w:val="04A0"/>
      </w:tblPr>
      <w:tblGrid>
        <w:gridCol w:w="9840"/>
      </w:tblGrid>
      <w:tr w:rsidR="00516C7A" w:rsidRPr="00516C7A">
        <w:trPr>
          <w:jc w:val="center"/>
        </w:trPr>
        <w:tc>
          <w:tcPr>
            <w:tcW w:w="9840" w:type="dxa"/>
            <w:shd w:val="clear" w:color="auto" w:fill="BFDFFF"/>
            <w:vAlign w:val="center"/>
            <w:hideMark/>
          </w:tcPr>
          <w:p w:rsidR="00516C7A" w:rsidRPr="00516C7A" w:rsidRDefault="00516C7A" w:rsidP="00516C7A">
            <w:pPr>
              <w:widowControl/>
              <w:spacing w:line="390" w:lineRule="atLeast"/>
              <w:jc w:val="left"/>
              <w:rPr>
                <w:rFonts w:ascii="ˎ̥" w:eastAsia="宋体" w:hAnsi="ˎ̥" w:cs="宋体"/>
                <w:color w:val="454545"/>
                <w:kern w:val="0"/>
                <w:sz w:val="18"/>
                <w:szCs w:val="18"/>
              </w:rPr>
            </w:pPr>
            <w:r w:rsidRPr="00516C7A">
              <w:rPr>
                <w:rFonts w:ascii="ˎ̥" w:eastAsia="宋体" w:hAnsi="ˎ̥" w:cs="宋体"/>
                <w:b/>
                <w:bCs/>
                <w:color w:val="454545"/>
                <w:kern w:val="0"/>
                <w:sz w:val="18"/>
              </w:rPr>
              <w:t xml:space="preserve">　十一、退出机制</w:t>
            </w:r>
          </w:p>
        </w:tc>
      </w:tr>
      <w:tr w:rsidR="00516C7A" w:rsidRPr="00516C7A">
        <w:trPr>
          <w:jc w:val="center"/>
        </w:trPr>
        <w:tc>
          <w:tcPr>
            <w:tcW w:w="0" w:type="auto"/>
            <w:vAlign w:val="center"/>
            <w:hideMark/>
          </w:tcPr>
          <w:p w:rsidR="00516C7A" w:rsidRPr="00516C7A" w:rsidRDefault="00516C7A" w:rsidP="00516C7A">
            <w:pPr>
              <w:widowControl/>
              <w:spacing w:before="100" w:beforeAutospacing="1" w:after="240" w:line="390" w:lineRule="atLeast"/>
              <w:jc w:val="left"/>
              <w:rPr>
                <w:rFonts w:ascii="ˎ̥" w:eastAsia="宋体" w:hAnsi="ˎ̥" w:cs="宋体"/>
                <w:color w:val="454545"/>
                <w:kern w:val="0"/>
                <w:sz w:val="18"/>
                <w:szCs w:val="18"/>
              </w:rPr>
            </w:pP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1</w:t>
            </w:r>
            <w:r w:rsidRPr="00516C7A">
              <w:rPr>
                <w:rFonts w:ascii="ˎ̥" w:eastAsia="宋体" w:hAnsi="ˎ̥" w:cs="宋体"/>
                <w:color w:val="454545"/>
                <w:kern w:val="0"/>
                <w:sz w:val="18"/>
                <w:szCs w:val="18"/>
              </w:rPr>
              <w:t>、股票上市</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2</w:t>
            </w:r>
            <w:r w:rsidRPr="00516C7A">
              <w:rPr>
                <w:rFonts w:ascii="ˎ̥" w:eastAsia="宋体" w:hAnsi="ˎ̥" w:cs="宋体"/>
                <w:color w:val="454545"/>
                <w:kern w:val="0"/>
                <w:sz w:val="18"/>
                <w:szCs w:val="18"/>
              </w:rPr>
              <w:t>、股权转让</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3</w:t>
            </w:r>
            <w:r w:rsidRPr="00516C7A">
              <w:rPr>
                <w:rFonts w:ascii="ˎ̥" w:eastAsia="宋体" w:hAnsi="ˎ̥" w:cs="宋体"/>
                <w:color w:val="454545"/>
                <w:kern w:val="0"/>
                <w:sz w:val="18"/>
                <w:szCs w:val="18"/>
              </w:rPr>
              <w:t>、股权回购</w:t>
            </w:r>
            <w:r w:rsidRPr="00516C7A">
              <w:rPr>
                <w:rFonts w:ascii="ˎ̥" w:eastAsia="宋体" w:hAnsi="ˎ̥" w:cs="宋体"/>
                <w:color w:val="454545"/>
                <w:kern w:val="0"/>
                <w:sz w:val="18"/>
                <w:szCs w:val="18"/>
              </w:rPr>
              <w:br/>
            </w:r>
            <w:r w:rsidRPr="00516C7A">
              <w:rPr>
                <w:rFonts w:ascii="ˎ̥" w:eastAsia="宋体" w:hAnsi="ˎ̥" w:cs="宋体"/>
                <w:color w:val="454545"/>
                <w:kern w:val="0"/>
                <w:sz w:val="18"/>
                <w:szCs w:val="18"/>
              </w:rPr>
              <w:t xml:space="preserve">　</w:t>
            </w:r>
            <w:r w:rsidRPr="00516C7A">
              <w:rPr>
                <w:rFonts w:ascii="ˎ̥" w:eastAsia="宋体" w:hAnsi="ˎ̥" w:cs="宋体"/>
                <w:color w:val="454545"/>
                <w:kern w:val="0"/>
                <w:sz w:val="18"/>
                <w:szCs w:val="18"/>
              </w:rPr>
              <w:t>4</w:t>
            </w:r>
            <w:r w:rsidRPr="00516C7A">
              <w:rPr>
                <w:rFonts w:ascii="ˎ̥" w:eastAsia="宋体" w:hAnsi="ˎ̥" w:cs="宋体"/>
                <w:color w:val="454545"/>
                <w:kern w:val="0"/>
                <w:sz w:val="18"/>
                <w:szCs w:val="18"/>
              </w:rPr>
              <w:t>、利润分红</w:t>
            </w:r>
          </w:p>
        </w:tc>
      </w:tr>
    </w:tbl>
    <w:p w:rsidR="00792D7D" w:rsidRPr="00516C7A" w:rsidRDefault="00792D7D"/>
    <w:sectPr w:rsidR="00792D7D" w:rsidRPr="00516C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D7D" w:rsidRDefault="00792D7D" w:rsidP="00516C7A">
      <w:r>
        <w:separator/>
      </w:r>
    </w:p>
  </w:endnote>
  <w:endnote w:type="continuationSeparator" w:id="1">
    <w:p w:rsidR="00792D7D" w:rsidRDefault="00792D7D" w:rsidP="00516C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D7D" w:rsidRDefault="00792D7D" w:rsidP="00516C7A">
      <w:r>
        <w:separator/>
      </w:r>
    </w:p>
  </w:footnote>
  <w:footnote w:type="continuationSeparator" w:id="1">
    <w:p w:rsidR="00792D7D" w:rsidRDefault="00792D7D" w:rsidP="00516C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6C7A"/>
    <w:rsid w:val="00516C7A"/>
    <w:rsid w:val="00792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6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6C7A"/>
    <w:rPr>
      <w:sz w:val="18"/>
      <w:szCs w:val="18"/>
    </w:rPr>
  </w:style>
  <w:style w:type="paragraph" w:styleId="a4">
    <w:name w:val="footer"/>
    <w:basedOn w:val="a"/>
    <w:link w:val="Char0"/>
    <w:uiPriority w:val="99"/>
    <w:semiHidden/>
    <w:unhideWhenUsed/>
    <w:rsid w:val="00516C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6C7A"/>
    <w:rPr>
      <w:sz w:val="18"/>
      <w:szCs w:val="18"/>
    </w:rPr>
  </w:style>
  <w:style w:type="paragraph" w:styleId="a5">
    <w:name w:val="Normal (Web)"/>
    <w:basedOn w:val="a"/>
    <w:uiPriority w:val="99"/>
    <w:unhideWhenUsed/>
    <w:rsid w:val="00516C7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16C7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Company>微软中国</Company>
  <LinksUpToDate>false</LinksUpToDate>
  <CharactersWithSpaces>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2011-06-26T02:58:00Z</dcterms:created>
  <dcterms:modified xsi:type="dcterms:W3CDTF">2011-06-26T02:59:00Z</dcterms:modified>
</cp:coreProperties>
</file>